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79EC18">
      <w:pPr>
        <w:keepNext w:val="0"/>
        <w:keepLines w:val="0"/>
        <w:pageBreakBefore w:val="0"/>
        <w:kinsoku/>
        <w:wordWrap/>
        <w:overflowPunct/>
        <w:topLinePunct w:val="0"/>
        <w:autoSpaceDE/>
        <w:autoSpaceDN/>
        <w:bidi w:val="0"/>
        <w:adjustRightInd/>
        <w:snapToGrid/>
        <w:spacing w:line="520" w:lineRule="exact"/>
        <w:jc w:val="left"/>
        <w:textAlignment w:val="auto"/>
        <w:rPr>
          <w:rFonts w:hint="default"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附件1</w:t>
      </w:r>
    </w:p>
    <w:p w14:paraId="654F335E">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方正仿宋_GB2312" w:hAnsi="方正仿宋_GB2312" w:eastAsia="方正仿宋_GB2312" w:cs="方正仿宋_GB2312"/>
          <w:b/>
          <w:bCs/>
          <w:sz w:val="44"/>
          <w:szCs w:val="44"/>
        </w:rPr>
      </w:pPr>
    </w:p>
    <w:p w14:paraId="2FB2ACEA">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sz w:val="36"/>
          <w:szCs w:val="36"/>
        </w:rPr>
        <w:t>中国机械工业教育协会 2025 年工作总结</w:t>
      </w:r>
    </w:p>
    <w:p w14:paraId="18140948">
      <w:pPr>
        <w:keepNext w:val="0"/>
        <w:keepLines w:val="0"/>
        <w:pageBreakBefore w:val="0"/>
        <w:kinsoku/>
        <w:wordWrap/>
        <w:overflowPunct/>
        <w:topLinePunct w:val="0"/>
        <w:autoSpaceDE/>
        <w:autoSpaceDN/>
        <w:bidi w:val="0"/>
        <w:adjustRightInd/>
        <w:snapToGrid/>
        <w:spacing w:line="460" w:lineRule="exact"/>
        <w:textAlignment w:val="auto"/>
        <w:rPr>
          <w:rFonts w:hint="eastAsia" w:ascii="方正仿宋_GB2312" w:hAnsi="方正仿宋_GB2312" w:eastAsia="方正仿宋_GB2312" w:cs="方正仿宋_GB2312"/>
          <w:sz w:val="30"/>
          <w:szCs w:val="30"/>
        </w:rPr>
      </w:pPr>
    </w:p>
    <w:p w14:paraId="09917650">
      <w:pPr>
        <w:keepNext w:val="0"/>
        <w:keepLines w:val="0"/>
        <w:pageBreakBefore w:val="0"/>
        <w:widowControl w:val="0"/>
        <w:kinsoku/>
        <w:wordWrap/>
        <w:overflowPunct/>
        <w:topLinePunct w:val="0"/>
        <w:autoSpaceDE/>
        <w:autoSpaceDN/>
        <w:bidi w:val="0"/>
        <w:adjustRightInd/>
        <w:snapToGrid/>
        <w:spacing w:line="460" w:lineRule="exact"/>
        <w:ind w:firstLine="600" w:firstLineChars="200"/>
        <w:textAlignment w:val="auto"/>
        <w:rPr>
          <w:rFonts w:hint="eastAsia" w:ascii="方正仿宋_GB2312" w:hAnsi="方正仿宋_GB2312" w:eastAsia="方正仿宋_GB2312" w:cs="方正仿宋_GB2312"/>
          <w:b w:val="0"/>
          <w:kern w:val="2"/>
          <w:sz w:val="30"/>
          <w:szCs w:val="30"/>
          <w:lang w:val="en-US" w:eastAsia="zh-CN" w:bidi="ar-SA"/>
        </w:rPr>
      </w:pPr>
      <w:r>
        <w:rPr>
          <w:rFonts w:hint="eastAsia" w:ascii="方正仿宋_GB2312" w:hAnsi="方正仿宋_GB2312" w:eastAsia="方正仿宋_GB2312" w:cs="方正仿宋_GB2312"/>
          <w:sz w:val="30"/>
          <w:szCs w:val="30"/>
          <w:lang w:val="en-US" w:eastAsia="zh-CN"/>
        </w:rPr>
        <w:t>中国机械工业教育协会锚定 2025 年度工作计划目标，充分发挥行业教育组织的桥梁纽带作用，统筹协调各分支机构和会员单位，紧密围绕国家教育强国建设、新质生产力培育、教育高质量发展等核心政策导向，扎实推进各项工作，在服务政府决策、赋能行业升级、助力会员成长、履行社会职责等领域取得显著成效，现将 2025 年度整体工作情况总结如下：</w:t>
      </w:r>
    </w:p>
    <w:p w14:paraId="0324E310">
      <w:pPr>
        <w:keepNext w:val="0"/>
        <w:keepLines w:val="0"/>
        <w:pageBreakBefore w:val="0"/>
        <w:kinsoku/>
        <w:wordWrap/>
        <w:overflowPunct/>
        <w:topLinePunct w:val="0"/>
        <w:autoSpaceDE/>
        <w:autoSpaceDN/>
        <w:bidi w:val="0"/>
        <w:adjustRightInd/>
        <w:snapToGrid/>
        <w:spacing w:line="460" w:lineRule="exact"/>
        <w:ind w:firstLine="602" w:firstLineChars="200"/>
        <w:textAlignment w:val="auto"/>
        <w:rPr>
          <w:rFonts w:hint="eastAsia" w:ascii="方正仿宋_GB2312" w:hAnsi="方正仿宋_GB2312" w:eastAsia="方正仿宋_GB2312" w:cs="方正仿宋_GB2312"/>
          <w:b/>
          <w:bCs/>
          <w:kern w:val="2"/>
          <w:sz w:val="30"/>
          <w:szCs w:val="30"/>
          <w:lang w:val="en-US" w:eastAsia="zh-CN" w:bidi="ar-SA"/>
        </w:rPr>
      </w:pPr>
      <w:r>
        <w:rPr>
          <w:rFonts w:hint="eastAsia" w:ascii="方正仿宋_GB2312" w:hAnsi="方正仿宋_GB2312" w:eastAsia="方正仿宋_GB2312" w:cs="方正仿宋_GB2312"/>
          <w:b/>
          <w:bCs/>
          <w:kern w:val="2"/>
          <w:sz w:val="30"/>
          <w:szCs w:val="30"/>
          <w:lang w:val="en-US" w:eastAsia="zh-CN" w:bidi="ar-SA"/>
        </w:rPr>
        <w:t>一、党建工作</w:t>
      </w:r>
    </w:p>
    <w:p w14:paraId="6039C9BA">
      <w:pPr>
        <w:keepNext w:val="0"/>
        <w:keepLines w:val="0"/>
        <w:pageBreakBefore w:val="0"/>
        <w:widowControl/>
        <w:suppressLineNumbers w:val="0"/>
        <w:kinsoku/>
        <w:wordWrap/>
        <w:overflowPunct/>
        <w:topLinePunct w:val="0"/>
        <w:autoSpaceDE/>
        <w:autoSpaceDN/>
        <w:bidi w:val="0"/>
        <w:adjustRightInd/>
        <w:snapToGrid/>
        <w:spacing w:line="460" w:lineRule="exact"/>
        <w:ind w:firstLine="600" w:firstLineChars="200"/>
        <w:jc w:val="left"/>
        <w:textAlignment w:val="auto"/>
        <w:rPr>
          <w:rFonts w:hint="eastAsia" w:ascii="方正仿宋_GB2312" w:hAnsi="方正仿宋_GB2312" w:eastAsia="方正仿宋_GB2312" w:cs="方正仿宋_GB2312"/>
          <w:b w:val="0"/>
          <w:kern w:val="2"/>
          <w:sz w:val="30"/>
          <w:szCs w:val="30"/>
          <w:lang w:val="en-US" w:eastAsia="zh-CN" w:bidi="ar-SA"/>
        </w:rPr>
      </w:pPr>
      <w:r>
        <w:rPr>
          <w:rFonts w:hint="eastAsia" w:ascii="方正仿宋_GB2312" w:hAnsi="方正仿宋_GB2312" w:eastAsia="方正仿宋_GB2312" w:cs="方正仿宋_GB2312"/>
          <w:b w:val="0"/>
          <w:kern w:val="2"/>
          <w:sz w:val="30"/>
          <w:szCs w:val="30"/>
          <w:lang w:val="en-US" w:eastAsia="zh-CN" w:bidi="ar-SA"/>
        </w:rPr>
        <w:t>中国机械工业教育协会党支部在上级党组织领导下，以习近平新时代中国特色社会主义思想为指导，深入落实党的二十大四中全会精神，扎实推进各项党建工作，为协会发展筑牢政治根基。严格执行第一议题制度，通过集中学习、“三会一课”、专题研讨等多种形式，持续提升党员干部政治素养和理论水平。深入贯彻中央八项规定及其实施细则精神，常态化开展自查自纠与廉政警示教育，营造风清气正的干事生态。对照党建质量提升计划，完善党组织架构，顺利完成党支部换届工作，推动党建工作与业务工作深度融合，打造党建文化长廊与线上学习平台，持续巩固党组织和党的工作“两个覆盖”成果。健全党建监督制度，强化制度执行力度，加强纪检队伍建设，规范执纪问责流程，常态化开展廉政教育，为行业教育行业高质量发展提供坚强政治保障和组织保障。</w:t>
      </w:r>
    </w:p>
    <w:p w14:paraId="6B488C8A">
      <w:pPr>
        <w:keepNext w:val="0"/>
        <w:keepLines w:val="0"/>
        <w:pageBreakBefore w:val="0"/>
        <w:widowControl/>
        <w:suppressLineNumbers w:val="0"/>
        <w:kinsoku/>
        <w:wordWrap/>
        <w:overflowPunct/>
        <w:topLinePunct w:val="0"/>
        <w:autoSpaceDE/>
        <w:autoSpaceDN/>
        <w:bidi w:val="0"/>
        <w:adjustRightInd/>
        <w:snapToGrid/>
        <w:spacing w:line="460" w:lineRule="exact"/>
        <w:ind w:firstLine="602" w:firstLineChars="200"/>
        <w:jc w:val="left"/>
        <w:textAlignment w:val="auto"/>
        <w:rPr>
          <w:rFonts w:hint="eastAsia" w:ascii="方正仿宋_GB2312" w:hAnsi="方正仿宋_GB2312" w:eastAsia="方正仿宋_GB2312" w:cs="方正仿宋_GB2312"/>
          <w:b/>
          <w:bCs/>
          <w:kern w:val="2"/>
          <w:sz w:val="30"/>
          <w:szCs w:val="30"/>
          <w:lang w:val="en-US" w:eastAsia="zh-CN" w:bidi="ar-SA"/>
        </w:rPr>
      </w:pPr>
      <w:r>
        <w:rPr>
          <w:rFonts w:hint="eastAsia" w:ascii="方正仿宋_GB2312" w:hAnsi="方正仿宋_GB2312" w:eastAsia="方正仿宋_GB2312" w:cs="方正仿宋_GB2312"/>
          <w:b/>
          <w:bCs/>
          <w:kern w:val="2"/>
          <w:sz w:val="30"/>
          <w:szCs w:val="30"/>
          <w:lang w:val="en-US" w:eastAsia="zh-CN" w:bidi="ar-SA"/>
        </w:rPr>
        <w:t>二、服务政府：精准献策赋能，助力政策落地​</w:t>
      </w:r>
    </w:p>
    <w:p w14:paraId="3D2A4CE3">
      <w:pPr>
        <w:keepNext w:val="0"/>
        <w:keepLines w:val="0"/>
        <w:pageBreakBefore w:val="0"/>
        <w:widowControl/>
        <w:suppressLineNumbers w:val="0"/>
        <w:kinsoku/>
        <w:wordWrap/>
        <w:overflowPunct/>
        <w:topLinePunct w:val="0"/>
        <w:autoSpaceDE/>
        <w:autoSpaceDN/>
        <w:bidi w:val="0"/>
        <w:adjustRightInd/>
        <w:snapToGrid/>
        <w:spacing w:line="460" w:lineRule="exact"/>
        <w:ind w:firstLine="600" w:firstLineChars="200"/>
        <w:jc w:val="left"/>
        <w:textAlignment w:val="auto"/>
        <w:rPr>
          <w:rFonts w:hint="eastAsia" w:ascii="方正仿宋_GB2312" w:hAnsi="方正仿宋_GB2312" w:eastAsia="方正仿宋_GB2312" w:cs="方正仿宋_GB2312"/>
          <w:b w:val="0"/>
          <w:kern w:val="2"/>
          <w:sz w:val="30"/>
          <w:szCs w:val="30"/>
          <w:lang w:val="en-US" w:eastAsia="zh-CN" w:bidi="ar-SA"/>
        </w:rPr>
      </w:pPr>
      <w:r>
        <w:rPr>
          <w:rFonts w:hint="eastAsia" w:ascii="方正仿宋_GB2312" w:hAnsi="方正仿宋_GB2312" w:eastAsia="方正仿宋_GB2312" w:cs="方正仿宋_GB2312"/>
          <w:b w:val="0"/>
          <w:kern w:val="2"/>
          <w:sz w:val="30"/>
          <w:szCs w:val="30"/>
          <w:lang w:val="en-US" w:eastAsia="zh-CN" w:bidi="ar-SA"/>
        </w:rPr>
        <w:t>高等教育质量支撑。（一）圆满完成协会换届会议保障工作 成功协助中国机械工业教育协会召开第六届一次会员大会暨第六届一次理事会。分会全程统筹、精心筹备，系统开展通知发布、材料收集、文件印发、数据汇总等关键环节。累计对接77所高校及相关单位，精准联系117位会员；建立并维护参会人员微信群，及时答疑解惑，高效完成参会人员行程信息统计，为会议顺利召开提供了全流程、高标准的保障支持。会议期间，有序组织并实施分研讨会活动，确保了各环节衔接顺畅、运行高效。 （二）积极组织到企业调研 为了更好地服务企业对高等工程教育的人才需求，积极组织会员高校到企业进行调研，为提高教学质量，为企业输送高质量人才打基础。 （三）系统完善新会员信息档案管理 全面梳理中国机械工业教育协会第六届新会员信息，系统收集并核验各单位地址、法人信息、会员职务、联系方式等关键资料，建立起完整、准确的会员信息数据库。该项工作为后续会员管理、精准服务及业务对接提供了坚实的数据基础，提升了分会管理效率与服务能力。职业教育政策赋能。贯彻《教育强国建设规划纲要》，聚焦机械工业“十四五”规划，提供人才供需、专业布局等咨询建议，形成多份调研报告，助力政府制定技术技能人才培养政策，推动职教政策与行业需求精准对接。​</w:t>
      </w:r>
    </w:p>
    <w:p w14:paraId="23127C17">
      <w:pPr>
        <w:keepNext w:val="0"/>
        <w:keepLines w:val="0"/>
        <w:pageBreakBefore w:val="0"/>
        <w:widowControl/>
        <w:suppressLineNumbers w:val="0"/>
        <w:kinsoku/>
        <w:wordWrap/>
        <w:overflowPunct/>
        <w:topLinePunct w:val="0"/>
        <w:autoSpaceDE/>
        <w:autoSpaceDN/>
        <w:bidi w:val="0"/>
        <w:adjustRightInd/>
        <w:snapToGrid/>
        <w:spacing w:line="460" w:lineRule="exact"/>
        <w:ind w:firstLine="600" w:firstLineChars="200"/>
        <w:jc w:val="left"/>
        <w:textAlignment w:val="auto"/>
        <w:rPr>
          <w:rFonts w:hint="eastAsia" w:ascii="方正仿宋_GB2312" w:hAnsi="方正仿宋_GB2312" w:eastAsia="方正仿宋_GB2312" w:cs="方正仿宋_GB2312"/>
          <w:b w:val="0"/>
          <w:kern w:val="2"/>
          <w:sz w:val="30"/>
          <w:szCs w:val="30"/>
          <w:lang w:val="en-US" w:eastAsia="zh-CN" w:bidi="ar-SA"/>
        </w:rPr>
      </w:pPr>
      <w:r>
        <w:rPr>
          <w:rFonts w:hint="eastAsia" w:ascii="方正仿宋_GB2312" w:hAnsi="方正仿宋_GB2312" w:eastAsia="方正仿宋_GB2312" w:cs="方正仿宋_GB2312"/>
          <w:b w:val="0"/>
          <w:kern w:val="2"/>
          <w:sz w:val="30"/>
          <w:szCs w:val="30"/>
          <w:lang w:val="en-US" w:eastAsia="zh-CN" w:bidi="ar-SA"/>
        </w:rPr>
        <w:t>技能竞赛示范引领。承办2025年全国行业职业技能竞赛，包括新能源汽车维修职业技能大赛（16省市20名选手晋级，评选 12 项奖项）和五轴操作调整工大赛（32 省市及俄罗斯共92名选手参赛，决出45项奖项），获批 2025-2028 年人社部行业竞赛项目，为技能人才队伍建设提供典型示范。</w:t>
      </w:r>
    </w:p>
    <w:p w14:paraId="68E47BD6">
      <w:pPr>
        <w:keepNext w:val="0"/>
        <w:keepLines w:val="0"/>
        <w:pageBreakBefore w:val="0"/>
        <w:widowControl/>
        <w:suppressLineNumbers w:val="0"/>
        <w:kinsoku/>
        <w:wordWrap/>
        <w:overflowPunct/>
        <w:topLinePunct w:val="0"/>
        <w:autoSpaceDE/>
        <w:autoSpaceDN/>
        <w:bidi w:val="0"/>
        <w:adjustRightInd/>
        <w:snapToGrid/>
        <w:spacing w:line="460" w:lineRule="exact"/>
        <w:ind w:firstLine="600" w:firstLineChars="200"/>
        <w:jc w:val="left"/>
        <w:textAlignment w:val="auto"/>
        <w:rPr>
          <w:rFonts w:hint="eastAsia" w:ascii="方正仿宋_GB2312" w:hAnsi="方正仿宋_GB2312" w:eastAsia="方正仿宋_GB2312" w:cs="方正仿宋_GB2312"/>
          <w:b w:val="0"/>
          <w:kern w:val="2"/>
          <w:sz w:val="30"/>
          <w:szCs w:val="30"/>
          <w:lang w:val="en-US" w:eastAsia="zh-CN" w:bidi="ar-SA"/>
        </w:rPr>
      </w:pPr>
      <w:r>
        <w:rPr>
          <w:rFonts w:hint="eastAsia" w:ascii="方正仿宋_GB2312" w:hAnsi="方正仿宋_GB2312" w:eastAsia="方正仿宋_GB2312" w:cs="方正仿宋_GB2312"/>
          <w:b w:val="0"/>
          <w:kern w:val="2"/>
          <w:sz w:val="30"/>
          <w:szCs w:val="30"/>
          <w:lang w:val="en-US" w:eastAsia="zh-CN" w:bidi="ar-SA"/>
        </w:rPr>
        <w:t>产教融合机制创新。主办第二届产教科融合国际交流大会，汇聚近 300 名政行企校代表，会议成果纳入地方政策参考，为教育部产学合作协同育人项目提供实践案例，推动政策落地见效。​</w:t>
      </w:r>
    </w:p>
    <w:p w14:paraId="603CE73C">
      <w:pPr>
        <w:keepNext w:val="0"/>
        <w:keepLines w:val="0"/>
        <w:pageBreakBefore w:val="0"/>
        <w:widowControl/>
        <w:suppressLineNumbers w:val="0"/>
        <w:kinsoku/>
        <w:wordWrap/>
        <w:overflowPunct/>
        <w:topLinePunct w:val="0"/>
        <w:autoSpaceDE/>
        <w:autoSpaceDN/>
        <w:bidi w:val="0"/>
        <w:adjustRightInd/>
        <w:snapToGrid/>
        <w:spacing w:line="460" w:lineRule="exact"/>
        <w:ind w:firstLine="600" w:firstLineChars="200"/>
        <w:jc w:val="left"/>
        <w:textAlignment w:val="auto"/>
        <w:rPr>
          <w:rFonts w:hint="eastAsia" w:ascii="方正仿宋_GB2312" w:hAnsi="方正仿宋_GB2312" w:eastAsia="方正仿宋_GB2312" w:cs="方正仿宋_GB2312"/>
          <w:b w:val="0"/>
          <w:kern w:val="2"/>
          <w:sz w:val="30"/>
          <w:szCs w:val="30"/>
          <w:lang w:val="en-US" w:eastAsia="zh-CN" w:bidi="ar-SA"/>
        </w:rPr>
      </w:pPr>
      <w:r>
        <w:rPr>
          <w:rFonts w:hint="eastAsia" w:ascii="方正仿宋_GB2312" w:hAnsi="方正仿宋_GB2312" w:eastAsia="方正仿宋_GB2312" w:cs="方正仿宋_GB2312"/>
          <w:b w:val="0"/>
          <w:kern w:val="2"/>
          <w:sz w:val="30"/>
          <w:szCs w:val="30"/>
          <w:lang w:val="en-US" w:eastAsia="zh-CN" w:bidi="ar-SA"/>
        </w:rPr>
        <w:t>教育标准体系建设。成立标准化技术委员会，完成首批 8 项团体标准发布工作，启动第二批 17 项立项，推动 5G、AI 等前沿技术纳入教学标准，参与 ISO 国际标准研讨，助力国家教育标准化战略实施。</w:t>
      </w:r>
    </w:p>
    <w:p w14:paraId="5B2CF2D1">
      <w:pPr>
        <w:keepNext w:val="0"/>
        <w:keepLines w:val="0"/>
        <w:pageBreakBefore w:val="0"/>
        <w:widowControl/>
        <w:suppressLineNumbers w:val="0"/>
        <w:kinsoku/>
        <w:wordWrap/>
        <w:overflowPunct/>
        <w:topLinePunct w:val="0"/>
        <w:autoSpaceDE/>
        <w:autoSpaceDN/>
        <w:bidi w:val="0"/>
        <w:adjustRightInd/>
        <w:snapToGrid/>
        <w:spacing w:line="460" w:lineRule="exact"/>
        <w:ind w:firstLine="602" w:firstLineChars="200"/>
        <w:jc w:val="left"/>
        <w:textAlignment w:val="auto"/>
        <w:rPr>
          <w:rFonts w:hint="eastAsia" w:ascii="方正仿宋_GB2312" w:hAnsi="方正仿宋_GB2312" w:eastAsia="方正仿宋_GB2312" w:cs="方正仿宋_GB2312"/>
          <w:b/>
          <w:bCs/>
          <w:kern w:val="2"/>
          <w:sz w:val="30"/>
          <w:szCs w:val="30"/>
          <w:lang w:val="en-US" w:eastAsia="zh-CN" w:bidi="ar-SA"/>
        </w:rPr>
      </w:pPr>
      <w:r>
        <w:rPr>
          <w:rFonts w:hint="eastAsia" w:ascii="方正仿宋_GB2312" w:hAnsi="方正仿宋_GB2312" w:eastAsia="方正仿宋_GB2312" w:cs="方正仿宋_GB2312"/>
          <w:b/>
          <w:bCs/>
          <w:kern w:val="2"/>
          <w:sz w:val="30"/>
          <w:szCs w:val="30"/>
          <w:lang w:val="en-US" w:eastAsia="zh-CN" w:bidi="ar-SA"/>
        </w:rPr>
        <w:t>三、服务行业：聚焦提质升级，激活发展动能​</w:t>
      </w:r>
    </w:p>
    <w:p w14:paraId="29524867">
      <w:pPr>
        <w:keepNext w:val="0"/>
        <w:keepLines w:val="0"/>
        <w:pageBreakBefore w:val="0"/>
        <w:widowControl/>
        <w:suppressLineNumbers w:val="0"/>
        <w:kinsoku/>
        <w:wordWrap/>
        <w:overflowPunct/>
        <w:topLinePunct w:val="0"/>
        <w:autoSpaceDE/>
        <w:autoSpaceDN/>
        <w:bidi w:val="0"/>
        <w:adjustRightInd/>
        <w:snapToGrid/>
        <w:spacing w:line="460" w:lineRule="exact"/>
        <w:ind w:firstLine="600" w:firstLineChars="200"/>
        <w:jc w:val="left"/>
        <w:textAlignment w:val="auto"/>
        <w:rPr>
          <w:rFonts w:hint="eastAsia" w:ascii="方正仿宋_GB2312" w:hAnsi="方正仿宋_GB2312" w:eastAsia="方正仿宋_GB2312" w:cs="方正仿宋_GB2312"/>
          <w:b w:val="0"/>
          <w:kern w:val="2"/>
          <w:sz w:val="30"/>
          <w:szCs w:val="30"/>
          <w:lang w:val="en-US" w:eastAsia="zh-CN" w:bidi="ar-SA"/>
        </w:rPr>
      </w:pPr>
      <w:r>
        <w:rPr>
          <w:rFonts w:hint="eastAsia" w:ascii="方正仿宋_GB2312" w:hAnsi="方正仿宋_GB2312" w:eastAsia="方正仿宋_GB2312" w:cs="方正仿宋_GB2312"/>
          <w:b w:val="0"/>
          <w:kern w:val="2"/>
          <w:sz w:val="30"/>
          <w:szCs w:val="30"/>
          <w:lang w:val="en-US" w:eastAsia="zh-CN" w:bidi="ar-SA"/>
        </w:rPr>
        <w:t>战略规划谋篇布局。5 月召开协会第六届第一次会员大会，600余 名代表参会，审议通过核心文件并完成换届选举，新任会长李强明确数字孪生、绿色制造人才培养等发展方向，助力 “中国制造向中国创造转变”。​</w:t>
      </w:r>
    </w:p>
    <w:p w14:paraId="0F536D0A">
      <w:pPr>
        <w:keepNext w:val="0"/>
        <w:keepLines w:val="0"/>
        <w:pageBreakBefore w:val="0"/>
        <w:widowControl/>
        <w:suppressLineNumbers w:val="0"/>
        <w:kinsoku/>
        <w:wordWrap/>
        <w:overflowPunct/>
        <w:topLinePunct w:val="0"/>
        <w:autoSpaceDE/>
        <w:autoSpaceDN/>
        <w:bidi w:val="0"/>
        <w:adjustRightInd/>
        <w:snapToGrid/>
        <w:spacing w:line="460" w:lineRule="exact"/>
        <w:ind w:firstLine="600" w:firstLineChars="200"/>
        <w:jc w:val="left"/>
        <w:textAlignment w:val="auto"/>
        <w:rPr>
          <w:rFonts w:hint="eastAsia" w:ascii="方正仿宋_GB2312" w:hAnsi="方正仿宋_GB2312" w:eastAsia="方正仿宋_GB2312" w:cs="方正仿宋_GB2312"/>
          <w:b w:val="0"/>
          <w:kern w:val="2"/>
          <w:sz w:val="30"/>
          <w:szCs w:val="30"/>
          <w:lang w:val="en-US" w:eastAsia="zh-CN" w:bidi="ar-SA"/>
        </w:rPr>
      </w:pPr>
      <w:r>
        <w:rPr>
          <w:rFonts w:hint="eastAsia" w:ascii="方正仿宋_GB2312" w:hAnsi="方正仿宋_GB2312" w:eastAsia="方正仿宋_GB2312" w:cs="方正仿宋_GB2312"/>
          <w:b w:val="0"/>
          <w:kern w:val="2"/>
          <w:sz w:val="30"/>
          <w:szCs w:val="30"/>
          <w:lang w:val="en-US" w:eastAsia="zh-CN" w:bidi="ar-SA"/>
        </w:rPr>
        <w:t>高教改革深化推进。指导 35 个专业委员会举办 19 场教学研讨会，覆盖 200 余所高校、3500 余人次，开展 4 场教师培训覆盖 1500 余人，组织 2 项大学生创新竞赛（600 余名学生参赛），推动智能制造等领域教学创新。</w:t>
      </w:r>
    </w:p>
    <w:p w14:paraId="0426939D">
      <w:pPr>
        <w:keepNext w:val="0"/>
        <w:keepLines w:val="0"/>
        <w:pageBreakBefore w:val="0"/>
        <w:kinsoku/>
        <w:wordWrap/>
        <w:overflowPunct/>
        <w:topLinePunct w:val="0"/>
        <w:autoSpaceDE/>
        <w:autoSpaceDN/>
        <w:bidi w:val="0"/>
        <w:adjustRightInd/>
        <w:snapToGrid/>
        <w:spacing w:line="460" w:lineRule="exact"/>
        <w:ind w:firstLine="600" w:firstLineChars="200"/>
        <w:textAlignment w:val="auto"/>
        <w:rPr>
          <w:rFonts w:hint="eastAsia" w:ascii="方正仿宋_GB2312" w:hAnsi="方正仿宋_GB2312" w:eastAsia="方正仿宋_GB2312" w:cs="方正仿宋_GB2312"/>
          <w:b w:val="0"/>
          <w:kern w:val="2"/>
          <w:sz w:val="30"/>
          <w:szCs w:val="30"/>
          <w:lang w:val="en-US" w:eastAsia="zh-CN" w:bidi="ar-SA"/>
        </w:rPr>
      </w:pPr>
      <w:r>
        <w:rPr>
          <w:rFonts w:hint="eastAsia" w:ascii="方正仿宋_GB2312" w:hAnsi="方正仿宋_GB2312" w:eastAsia="方正仿宋_GB2312" w:cs="方正仿宋_GB2312"/>
          <w:b w:val="0"/>
          <w:kern w:val="2"/>
          <w:sz w:val="30"/>
          <w:szCs w:val="30"/>
          <w:lang w:val="en-US" w:eastAsia="zh-CN" w:bidi="ar-SA"/>
        </w:rPr>
        <w:t>职教师资能力提升。实施 “机械行业职教师资专业能力提升计划”，建设产教融合互联网服务平台，推动 20 余所院校完成专业升级，促进产业与教育资源优化配置，提升职业院校办学能力。​</w:t>
      </w:r>
    </w:p>
    <w:p w14:paraId="2E4AAE36">
      <w:pPr>
        <w:keepNext w:val="0"/>
        <w:keepLines w:val="0"/>
        <w:pageBreakBefore w:val="0"/>
        <w:kinsoku/>
        <w:wordWrap/>
        <w:overflowPunct/>
        <w:topLinePunct w:val="0"/>
        <w:autoSpaceDE/>
        <w:autoSpaceDN/>
        <w:bidi w:val="0"/>
        <w:adjustRightInd/>
        <w:snapToGrid/>
        <w:spacing w:line="460" w:lineRule="exact"/>
        <w:ind w:firstLine="600" w:firstLineChars="200"/>
        <w:textAlignment w:val="auto"/>
        <w:rPr>
          <w:rFonts w:hint="eastAsia" w:ascii="方正仿宋_GB2312" w:hAnsi="方正仿宋_GB2312" w:eastAsia="方正仿宋_GB2312" w:cs="方正仿宋_GB2312"/>
          <w:b w:val="0"/>
          <w:kern w:val="2"/>
          <w:sz w:val="30"/>
          <w:szCs w:val="30"/>
          <w:lang w:val="en-US" w:eastAsia="zh-CN" w:bidi="ar-SA"/>
        </w:rPr>
      </w:pPr>
      <w:r>
        <w:rPr>
          <w:rFonts w:hint="eastAsia" w:ascii="方正仿宋_GB2312" w:hAnsi="方正仿宋_GB2312" w:eastAsia="方正仿宋_GB2312" w:cs="方正仿宋_GB2312"/>
          <w:b w:val="0"/>
          <w:kern w:val="2"/>
          <w:sz w:val="30"/>
          <w:szCs w:val="30"/>
          <w:lang w:val="en-US" w:eastAsia="zh-CN" w:bidi="ar-SA"/>
        </w:rPr>
        <w:t>育人模式创新推广。组织示范院校考察，推广 “教学 - 实训 - 生产 - 研发” 一体化模式，策划新兴领域教师培训，推进工学一体化改革，启动重点专业教学资源包开发，建设行业级数字教学资源库。</w:t>
      </w:r>
    </w:p>
    <w:p w14:paraId="2ABDD6ED">
      <w:pPr>
        <w:keepNext w:val="0"/>
        <w:keepLines w:val="0"/>
        <w:pageBreakBefore w:val="0"/>
        <w:kinsoku/>
        <w:wordWrap/>
        <w:overflowPunct/>
        <w:topLinePunct w:val="0"/>
        <w:autoSpaceDE/>
        <w:autoSpaceDN/>
        <w:bidi w:val="0"/>
        <w:adjustRightInd/>
        <w:snapToGrid/>
        <w:spacing w:line="460" w:lineRule="exact"/>
        <w:ind w:firstLine="600" w:firstLineChars="200"/>
        <w:textAlignment w:val="auto"/>
        <w:rPr>
          <w:rFonts w:hint="eastAsia" w:ascii="方正仿宋_GB2312" w:hAnsi="方正仿宋_GB2312" w:eastAsia="方正仿宋_GB2312" w:cs="方正仿宋_GB2312"/>
          <w:b w:val="0"/>
          <w:kern w:val="2"/>
          <w:sz w:val="30"/>
          <w:szCs w:val="30"/>
          <w:lang w:val="en-US" w:eastAsia="zh-CN" w:bidi="ar-SA"/>
        </w:rPr>
      </w:pPr>
      <w:r>
        <w:rPr>
          <w:rFonts w:hint="eastAsia" w:ascii="方正仿宋_GB2312" w:hAnsi="方正仿宋_GB2312" w:eastAsia="方正仿宋_GB2312" w:cs="方正仿宋_GB2312"/>
          <w:b w:val="0"/>
          <w:kern w:val="2"/>
          <w:sz w:val="30"/>
          <w:szCs w:val="30"/>
          <w:lang w:val="en-US" w:eastAsia="zh-CN" w:bidi="ar-SA"/>
        </w:rPr>
        <w:t>人才培养与科研赋能。开展 AI 应用、智能制造等主题培训，依托哈尔滨焊接技术培训中心完成 4521 人次培训，立项 115 项产教融合课题，组建 “政校企行研” 协作组，成立 “中欧智造产教协同创新共同体”。​</w:t>
      </w:r>
    </w:p>
    <w:p w14:paraId="5E7EBD98">
      <w:pPr>
        <w:keepNext w:val="0"/>
        <w:keepLines w:val="0"/>
        <w:pageBreakBefore w:val="0"/>
        <w:kinsoku/>
        <w:wordWrap/>
        <w:overflowPunct/>
        <w:topLinePunct w:val="0"/>
        <w:autoSpaceDE/>
        <w:autoSpaceDN/>
        <w:bidi w:val="0"/>
        <w:adjustRightInd/>
        <w:snapToGrid/>
        <w:spacing w:line="460" w:lineRule="exact"/>
        <w:ind w:firstLine="600" w:firstLineChars="200"/>
        <w:textAlignment w:val="auto"/>
        <w:rPr>
          <w:rFonts w:hint="eastAsia" w:ascii="方正仿宋_GB2312" w:hAnsi="方正仿宋_GB2312" w:eastAsia="方正仿宋_GB2312" w:cs="方正仿宋_GB2312"/>
          <w:b w:val="0"/>
          <w:kern w:val="2"/>
          <w:sz w:val="30"/>
          <w:szCs w:val="30"/>
          <w:lang w:val="en-US" w:eastAsia="zh-CN" w:bidi="ar-SA"/>
        </w:rPr>
      </w:pPr>
      <w:r>
        <w:rPr>
          <w:rFonts w:hint="eastAsia" w:ascii="方正仿宋_GB2312" w:hAnsi="方正仿宋_GB2312" w:eastAsia="方正仿宋_GB2312" w:cs="方正仿宋_GB2312"/>
          <w:b w:val="0"/>
          <w:kern w:val="2"/>
          <w:sz w:val="30"/>
          <w:szCs w:val="30"/>
          <w:lang w:val="en-US" w:eastAsia="zh-CN" w:bidi="ar-SA"/>
        </w:rPr>
        <w:t>成功举办2025年院校行政管理工作会议（暨年会）。2025年5月17-18日院校行政管理工作委员会2025年会在扬州举行。会议是为了深入贯彻落实党的二十大历次全会精神，围绕推进院校党建与业务工作深度融合，探索教育治理体系现代化建设的主题，进行主题报告和经验交流。期间参观了当地知名企业，了解企业对人才的需求。</w:t>
      </w:r>
    </w:p>
    <w:p w14:paraId="4B4E7B52">
      <w:pPr>
        <w:keepNext w:val="0"/>
        <w:keepLines w:val="0"/>
        <w:pageBreakBefore w:val="0"/>
        <w:kinsoku/>
        <w:wordWrap/>
        <w:overflowPunct/>
        <w:topLinePunct w:val="0"/>
        <w:autoSpaceDE/>
        <w:autoSpaceDN/>
        <w:bidi w:val="0"/>
        <w:adjustRightInd/>
        <w:snapToGrid/>
        <w:spacing w:line="460" w:lineRule="exact"/>
        <w:ind w:firstLine="602" w:firstLineChars="200"/>
        <w:textAlignment w:val="auto"/>
        <w:rPr>
          <w:rFonts w:hint="eastAsia" w:ascii="方正仿宋_GB2312" w:hAnsi="方正仿宋_GB2312" w:eastAsia="方正仿宋_GB2312" w:cs="方正仿宋_GB2312"/>
          <w:b w:val="0"/>
          <w:kern w:val="2"/>
          <w:sz w:val="30"/>
          <w:szCs w:val="30"/>
          <w:lang w:val="en-US" w:eastAsia="zh-CN" w:bidi="ar-SA"/>
        </w:rPr>
      </w:pPr>
      <w:r>
        <w:rPr>
          <w:rFonts w:hint="eastAsia" w:ascii="方正仿宋_GB2312" w:hAnsi="方正仿宋_GB2312" w:eastAsia="方正仿宋_GB2312" w:cs="方正仿宋_GB2312"/>
          <w:b/>
          <w:bCs/>
          <w:kern w:val="2"/>
          <w:sz w:val="30"/>
          <w:szCs w:val="30"/>
          <w:lang w:val="en-US" w:eastAsia="zh-CN" w:bidi="ar-SA"/>
        </w:rPr>
        <w:t>四、服务会员和企业：精准对接需求，赋能成长发展</w:t>
      </w:r>
      <w:r>
        <w:rPr>
          <w:rFonts w:hint="eastAsia" w:ascii="方正仿宋_GB2312" w:hAnsi="方正仿宋_GB2312" w:eastAsia="方正仿宋_GB2312" w:cs="方正仿宋_GB2312"/>
          <w:b w:val="0"/>
          <w:kern w:val="2"/>
          <w:sz w:val="30"/>
          <w:szCs w:val="30"/>
          <w:lang w:val="en-US" w:eastAsia="zh-CN" w:bidi="ar-SA"/>
        </w:rPr>
        <w:t>​</w:t>
      </w:r>
    </w:p>
    <w:p w14:paraId="1C96BBEE">
      <w:pPr>
        <w:keepNext w:val="0"/>
        <w:keepLines w:val="0"/>
        <w:pageBreakBefore w:val="0"/>
        <w:kinsoku/>
        <w:wordWrap/>
        <w:overflowPunct/>
        <w:topLinePunct w:val="0"/>
        <w:autoSpaceDE/>
        <w:autoSpaceDN/>
        <w:bidi w:val="0"/>
        <w:adjustRightInd/>
        <w:snapToGrid/>
        <w:spacing w:line="460" w:lineRule="exact"/>
        <w:ind w:firstLine="600" w:firstLineChars="200"/>
        <w:textAlignment w:val="auto"/>
        <w:rPr>
          <w:rFonts w:hint="eastAsia" w:ascii="方正仿宋_GB2312" w:hAnsi="方正仿宋_GB2312" w:eastAsia="方正仿宋_GB2312" w:cs="方正仿宋_GB2312"/>
          <w:b w:val="0"/>
          <w:kern w:val="2"/>
          <w:sz w:val="30"/>
          <w:szCs w:val="30"/>
          <w:lang w:val="en-US" w:eastAsia="zh-CN" w:bidi="ar-SA"/>
        </w:rPr>
      </w:pPr>
      <w:r>
        <w:rPr>
          <w:rFonts w:hint="eastAsia" w:ascii="方正仿宋_GB2312" w:hAnsi="方正仿宋_GB2312" w:eastAsia="方正仿宋_GB2312" w:cs="方正仿宋_GB2312"/>
          <w:b w:val="0"/>
          <w:kern w:val="2"/>
          <w:sz w:val="30"/>
          <w:szCs w:val="30"/>
          <w:lang w:val="en-US" w:eastAsia="zh-CN" w:bidi="ar-SA"/>
        </w:rPr>
        <w:t>会员管理提质增效。梳理第六届新会员信息，建立完整数据库，协助召开换届大会并组织分论坛，为会员单位搭建交流合作平台，促进经验共享与项目协作。​</w:t>
      </w:r>
    </w:p>
    <w:p w14:paraId="6297C6AE">
      <w:pPr>
        <w:keepNext w:val="0"/>
        <w:keepLines w:val="0"/>
        <w:pageBreakBefore w:val="0"/>
        <w:kinsoku/>
        <w:wordWrap/>
        <w:overflowPunct/>
        <w:topLinePunct w:val="0"/>
        <w:autoSpaceDE/>
        <w:autoSpaceDN/>
        <w:bidi w:val="0"/>
        <w:adjustRightInd/>
        <w:snapToGrid/>
        <w:spacing w:line="460" w:lineRule="exact"/>
        <w:ind w:firstLine="600" w:firstLineChars="200"/>
        <w:textAlignment w:val="auto"/>
        <w:rPr>
          <w:rFonts w:hint="eastAsia" w:ascii="方正仿宋_GB2312" w:hAnsi="方正仿宋_GB2312" w:eastAsia="方正仿宋_GB2312" w:cs="方正仿宋_GB2312"/>
          <w:b w:val="0"/>
          <w:kern w:val="2"/>
          <w:sz w:val="30"/>
          <w:szCs w:val="30"/>
          <w:lang w:val="en-US" w:eastAsia="zh-CN" w:bidi="ar-SA"/>
        </w:rPr>
      </w:pPr>
      <w:r>
        <w:rPr>
          <w:rFonts w:hint="eastAsia" w:ascii="方正仿宋_GB2312" w:hAnsi="方正仿宋_GB2312" w:eastAsia="方正仿宋_GB2312" w:cs="方正仿宋_GB2312"/>
          <w:b w:val="0"/>
          <w:kern w:val="2"/>
          <w:sz w:val="30"/>
          <w:szCs w:val="30"/>
          <w:lang w:val="en-US" w:eastAsia="zh-CN" w:bidi="ar-SA"/>
        </w:rPr>
        <w:t>前沿资源精准对接。通过 19 场学术会议、4 场师资培训等活动，链接高端智力资源，组织大学生创新竞赛，推动会员单位教师专业成长与学生实践能力提升，为企业输送高素质人才。​</w:t>
      </w:r>
    </w:p>
    <w:p w14:paraId="1296A098">
      <w:pPr>
        <w:keepNext w:val="0"/>
        <w:keepLines w:val="0"/>
        <w:pageBreakBefore w:val="0"/>
        <w:kinsoku/>
        <w:wordWrap/>
        <w:overflowPunct/>
        <w:topLinePunct w:val="0"/>
        <w:autoSpaceDE/>
        <w:autoSpaceDN/>
        <w:bidi w:val="0"/>
        <w:adjustRightInd/>
        <w:snapToGrid/>
        <w:spacing w:line="460" w:lineRule="exact"/>
        <w:ind w:firstLine="600" w:firstLineChars="200"/>
        <w:textAlignment w:val="auto"/>
        <w:rPr>
          <w:rFonts w:hint="eastAsia" w:ascii="方正仿宋_GB2312" w:hAnsi="方正仿宋_GB2312" w:eastAsia="方正仿宋_GB2312" w:cs="方正仿宋_GB2312"/>
          <w:b w:val="0"/>
          <w:kern w:val="2"/>
          <w:sz w:val="30"/>
          <w:szCs w:val="30"/>
          <w:lang w:val="en-US" w:eastAsia="zh-CN" w:bidi="ar-SA"/>
        </w:rPr>
      </w:pPr>
      <w:r>
        <w:rPr>
          <w:rFonts w:hint="eastAsia" w:ascii="方正仿宋_GB2312" w:hAnsi="方正仿宋_GB2312" w:eastAsia="方正仿宋_GB2312" w:cs="方正仿宋_GB2312"/>
          <w:b w:val="0"/>
          <w:kern w:val="2"/>
          <w:sz w:val="30"/>
          <w:szCs w:val="30"/>
          <w:lang w:val="en-US" w:eastAsia="zh-CN" w:bidi="ar-SA"/>
        </w:rPr>
        <w:t>院校发展赋能支持。制定专业建设服务方案，推动会员院校参与先进制造产教融合项目，推广一体化育人模式，开展技能竞赛与教学成果评选，激发教学创新活力。​</w:t>
      </w:r>
    </w:p>
    <w:p w14:paraId="71A7EE79">
      <w:pPr>
        <w:keepNext w:val="0"/>
        <w:keepLines w:val="0"/>
        <w:pageBreakBefore w:val="0"/>
        <w:kinsoku/>
        <w:wordWrap/>
        <w:overflowPunct/>
        <w:topLinePunct w:val="0"/>
        <w:autoSpaceDE/>
        <w:autoSpaceDN/>
        <w:bidi w:val="0"/>
        <w:adjustRightInd/>
        <w:snapToGrid/>
        <w:spacing w:line="460" w:lineRule="exact"/>
        <w:ind w:firstLine="600" w:firstLineChars="200"/>
        <w:textAlignment w:val="auto"/>
        <w:rPr>
          <w:rFonts w:hint="eastAsia" w:ascii="方正仿宋_GB2312" w:hAnsi="方正仿宋_GB2312" w:eastAsia="方正仿宋_GB2312" w:cs="方正仿宋_GB2312"/>
          <w:b w:val="0"/>
          <w:kern w:val="2"/>
          <w:sz w:val="30"/>
          <w:szCs w:val="30"/>
          <w:lang w:val="en-US" w:eastAsia="zh-CN" w:bidi="ar-SA"/>
        </w:rPr>
      </w:pPr>
      <w:r>
        <w:rPr>
          <w:rFonts w:hint="eastAsia" w:ascii="方正仿宋_GB2312" w:hAnsi="方正仿宋_GB2312" w:eastAsia="方正仿宋_GB2312" w:cs="方正仿宋_GB2312"/>
          <w:b w:val="0"/>
          <w:kern w:val="2"/>
          <w:sz w:val="30"/>
          <w:szCs w:val="30"/>
          <w:lang w:val="en-US" w:eastAsia="zh-CN" w:bidi="ar-SA"/>
        </w:rPr>
        <w:t>就业创业服务升级。举办暑期空中双选会，召开 AI 赋能就业创业研讨会，组织访企拓岗活动，开展就业工作典型案例大赛（评选 32 项奖项），促进高校毕业生高质量就业。</w:t>
      </w:r>
    </w:p>
    <w:p w14:paraId="2D56930C">
      <w:pPr>
        <w:keepNext w:val="0"/>
        <w:keepLines w:val="0"/>
        <w:pageBreakBefore w:val="0"/>
        <w:kinsoku/>
        <w:wordWrap/>
        <w:overflowPunct/>
        <w:topLinePunct w:val="0"/>
        <w:autoSpaceDE/>
        <w:autoSpaceDN/>
        <w:bidi w:val="0"/>
        <w:adjustRightInd/>
        <w:snapToGrid/>
        <w:spacing w:line="460" w:lineRule="exact"/>
        <w:ind w:firstLine="600" w:firstLineChars="200"/>
        <w:textAlignment w:val="auto"/>
        <w:rPr>
          <w:rFonts w:hint="eastAsia" w:ascii="方正仿宋_GB2312" w:hAnsi="方正仿宋_GB2312" w:eastAsia="方正仿宋_GB2312" w:cs="方正仿宋_GB2312"/>
          <w:b w:val="0"/>
          <w:kern w:val="2"/>
          <w:sz w:val="30"/>
          <w:szCs w:val="30"/>
          <w:lang w:val="en-US" w:eastAsia="zh-CN" w:bidi="ar-SA"/>
        </w:rPr>
      </w:pPr>
      <w:r>
        <w:rPr>
          <w:rFonts w:hint="eastAsia" w:ascii="方正仿宋_GB2312" w:hAnsi="方正仿宋_GB2312" w:eastAsia="方正仿宋_GB2312" w:cs="方正仿宋_GB2312"/>
          <w:b w:val="0"/>
          <w:kern w:val="2"/>
          <w:sz w:val="30"/>
          <w:szCs w:val="30"/>
          <w:lang w:val="en-US" w:eastAsia="zh-CN" w:bidi="ar-SA"/>
        </w:rPr>
        <w:t>合作生态共建共享。承办多场行业专题会议，推动会员单位参与团体标准研制，40 家单位组建协作组，形成资源互补、协同发展的合作生态，提升会员行业话语权。​</w:t>
      </w:r>
    </w:p>
    <w:p w14:paraId="136A4E15">
      <w:pPr>
        <w:keepNext w:val="0"/>
        <w:keepLines w:val="0"/>
        <w:pageBreakBefore w:val="0"/>
        <w:kinsoku/>
        <w:wordWrap/>
        <w:overflowPunct/>
        <w:topLinePunct w:val="0"/>
        <w:autoSpaceDE/>
        <w:autoSpaceDN/>
        <w:bidi w:val="0"/>
        <w:adjustRightInd/>
        <w:snapToGrid/>
        <w:spacing w:line="460" w:lineRule="exact"/>
        <w:ind w:firstLine="602" w:firstLineChars="200"/>
        <w:textAlignment w:val="auto"/>
        <w:rPr>
          <w:rFonts w:hint="eastAsia" w:ascii="方正仿宋_GB2312" w:hAnsi="方正仿宋_GB2312" w:eastAsia="方正仿宋_GB2312" w:cs="方正仿宋_GB2312"/>
          <w:b/>
          <w:bCs/>
          <w:kern w:val="2"/>
          <w:sz w:val="30"/>
          <w:szCs w:val="30"/>
          <w:lang w:val="en-US" w:eastAsia="zh-CN" w:bidi="ar-SA"/>
        </w:rPr>
      </w:pPr>
      <w:r>
        <w:rPr>
          <w:rFonts w:hint="eastAsia" w:ascii="方正仿宋_GB2312" w:hAnsi="方正仿宋_GB2312" w:eastAsia="方正仿宋_GB2312" w:cs="方正仿宋_GB2312"/>
          <w:b/>
          <w:bCs/>
          <w:kern w:val="2"/>
          <w:sz w:val="30"/>
          <w:szCs w:val="30"/>
          <w:lang w:val="en-US" w:eastAsia="zh-CN" w:bidi="ar-SA"/>
        </w:rPr>
        <w:t>五、服务社会：践行责任担当，赋能全面发展​</w:t>
      </w:r>
    </w:p>
    <w:p w14:paraId="5F8F8CE5">
      <w:pPr>
        <w:keepNext w:val="0"/>
        <w:keepLines w:val="0"/>
        <w:pageBreakBefore w:val="0"/>
        <w:kinsoku/>
        <w:wordWrap/>
        <w:overflowPunct/>
        <w:topLinePunct w:val="0"/>
        <w:autoSpaceDE/>
        <w:autoSpaceDN/>
        <w:bidi w:val="0"/>
        <w:adjustRightInd/>
        <w:snapToGrid/>
        <w:spacing w:line="460" w:lineRule="exact"/>
        <w:ind w:firstLine="600" w:firstLineChars="200"/>
        <w:textAlignment w:val="auto"/>
        <w:rPr>
          <w:rFonts w:hint="eastAsia" w:ascii="方正仿宋_GB2312" w:hAnsi="方正仿宋_GB2312" w:eastAsia="方正仿宋_GB2312" w:cs="方正仿宋_GB2312"/>
          <w:b w:val="0"/>
          <w:kern w:val="2"/>
          <w:sz w:val="30"/>
          <w:szCs w:val="30"/>
          <w:lang w:val="en-US" w:eastAsia="zh-CN" w:bidi="ar-SA"/>
        </w:rPr>
      </w:pPr>
      <w:r>
        <w:rPr>
          <w:rFonts w:hint="eastAsia" w:ascii="方正仿宋_GB2312" w:hAnsi="方正仿宋_GB2312" w:eastAsia="方正仿宋_GB2312" w:cs="方正仿宋_GB2312"/>
          <w:b w:val="0"/>
          <w:kern w:val="2"/>
          <w:sz w:val="30"/>
          <w:szCs w:val="30"/>
          <w:lang w:val="en-US" w:eastAsia="zh-CN" w:bidi="ar-SA"/>
        </w:rPr>
        <w:t>创新人才培育输送：组织全国大学生创新竞赛，培养学生创新思维与实践能力，竞赛成果转化为多项应用案例，开展论文大赛与写作培训，推动行业技术进步与教学创新。​</w:t>
      </w:r>
    </w:p>
    <w:p w14:paraId="1D07EA3C">
      <w:pPr>
        <w:keepNext w:val="0"/>
        <w:keepLines w:val="0"/>
        <w:pageBreakBefore w:val="0"/>
        <w:kinsoku/>
        <w:wordWrap/>
        <w:overflowPunct/>
        <w:topLinePunct w:val="0"/>
        <w:autoSpaceDE/>
        <w:autoSpaceDN/>
        <w:bidi w:val="0"/>
        <w:adjustRightInd/>
        <w:snapToGrid/>
        <w:spacing w:line="460" w:lineRule="exact"/>
        <w:ind w:firstLine="600" w:firstLineChars="200"/>
        <w:textAlignment w:val="auto"/>
        <w:rPr>
          <w:rFonts w:hint="eastAsia" w:ascii="方正仿宋_GB2312" w:hAnsi="方正仿宋_GB2312" w:eastAsia="方正仿宋_GB2312" w:cs="方正仿宋_GB2312"/>
          <w:b w:val="0"/>
          <w:kern w:val="2"/>
          <w:sz w:val="30"/>
          <w:szCs w:val="30"/>
          <w:lang w:val="en-US" w:eastAsia="zh-CN" w:bidi="ar-SA"/>
        </w:rPr>
      </w:pPr>
      <w:r>
        <w:rPr>
          <w:rFonts w:hint="eastAsia" w:ascii="方正仿宋_GB2312" w:hAnsi="方正仿宋_GB2312" w:eastAsia="方正仿宋_GB2312" w:cs="方正仿宋_GB2312"/>
          <w:b w:val="0"/>
          <w:kern w:val="2"/>
          <w:sz w:val="30"/>
          <w:szCs w:val="30"/>
          <w:lang w:val="en-US" w:eastAsia="zh-CN" w:bidi="ar-SA"/>
        </w:rPr>
        <w:t>思政教育与资源均衡。坚持党建引领，推动新时代中国特色社会主义思想 “三进”，开发重点专业教学资源包与数字资源库，向社会开放共享，促进教育资源均衡配置。​</w:t>
      </w:r>
    </w:p>
    <w:p w14:paraId="5B5883FA">
      <w:pPr>
        <w:keepNext w:val="0"/>
        <w:keepLines w:val="0"/>
        <w:pageBreakBefore w:val="0"/>
        <w:kinsoku/>
        <w:wordWrap/>
        <w:overflowPunct/>
        <w:topLinePunct w:val="0"/>
        <w:autoSpaceDE/>
        <w:autoSpaceDN/>
        <w:bidi w:val="0"/>
        <w:adjustRightInd/>
        <w:snapToGrid/>
        <w:spacing w:line="460" w:lineRule="exact"/>
        <w:ind w:firstLine="600" w:firstLineChars="200"/>
        <w:textAlignment w:val="auto"/>
        <w:rPr>
          <w:rFonts w:hint="eastAsia" w:ascii="方正仿宋_GB2312" w:hAnsi="方正仿宋_GB2312" w:eastAsia="方正仿宋_GB2312" w:cs="方正仿宋_GB2312"/>
          <w:b w:val="0"/>
          <w:kern w:val="2"/>
          <w:sz w:val="30"/>
          <w:szCs w:val="30"/>
          <w:lang w:val="en-US" w:eastAsia="zh-CN" w:bidi="ar-SA"/>
        </w:rPr>
      </w:pPr>
      <w:r>
        <w:rPr>
          <w:rFonts w:hint="eastAsia" w:ascii="方正仿宋_GB2312" w:hAnsi="方正仿宋_GB2312" w:eastAsia="方正仿宋_GB2312" w:cs="方正仿宋_GB2312"/>
          <w:b w:val="0"/>
          <w:kern w:val="2"/>
          <w:sz w:val="30"/>
          <w:szCs w:val="30"/>
          <w:lang w:val="en-US" w:eastAsia="zh-CN" w:bidi="ar-SA"/>
        </w:rPr>
        <w:t>技能培训赋能。开展焊接、无损检测等公益性培训，覆盖 4500 余人次，推广国际证书与特殊工艺培训，提升劳动者就业竞争力，缓解行业技能人才短缺压力。​</w:t>
      </w:r>
    </w:p>
    <w:p w14:paraId="3FACA936">
      <w:pPr>
        <w:keepNext w:val="0"/>
        <w:keepLines w:val="0"/>
        <w:pageBreakBefore w:val="0"/>
        <w:kinsoku/>
        <w:wordWrap/>
        <w:overflowPunct/>
        <w:topLinePunct w:val="0"/>
        <w:autoSpaceDE/>
        <w:autoSpaceDN/>
        <w:bidi w:val="0"/>
        <w:adjustRightInd/>
        <w:snapToGrid/>
        <w:spacing w:line="460" w:lineRule="exact"/>
        <w:ind w:firstLine="600" w:firstLineChars="200"/>
        <w:textAlignment w:val="auto"/>
        <w:rPr>
          <w:rFonts w:hint="eastAsia" w:ascii="方正仿宋_GB2312" w:hAnsi="方正仿宋_GB2312" w:eastAsia="方正仿宋_GB2312" w:cs="方正仿宋_GB2312"/>
          <w:b w:val="0"/>
          <w:kern w:val="2"/>
          <w:sz w:val="30"/>
          <w:szCs w:val="30"/>
          <w:lang w:val="en-US" w:eastAsia="zh-CN" w:bidi="ar-SA"/>
        </w:rPr>
      </w:pPr>
      <w:r>
        <w:rPr>
          <w:rFonts w:hint="eastAsia" w:ascii="方正仿宋_GB2312" w:hAnsi="方正仿宋_GB2312" w:eastAsia="方正仿宋_GB2312" w:cs="方正仿宋_GB2312"/>
          <w:b w:val="0"/>
          <w:kern w:val="2"/>
          <w:sz w:val="30"/>
          <w:szCs w:val="30"/>
          <w:lang w:val="en-US" w:eastAsia="zh-CN" w:bidi="ar-SA"/>
        </w:rPr>
        <w:t>德技兼备人才培育。指导开展 “一站式” 学生社区育人研讨会暨工匠精神论坛，43 所高校参与推广创新育人模式，推动 “三全育人” 实施，培育学生工匠精神与道德素养。​</w:t>
      </w:r>
    </w:p>
    <w:p w14:paraId="1B6F2F91">
      <w:pPr>
        <w:keepNext w:val="0"/>
        <w:keepLines w:val="0"/>
        <w:pageBreakBefore w:val="0"/>
        <w:kinsoku/>
        <w:wordWrap/>
        <w:overflowPunct/>
        <w:topLinePunct w:val="0"/>
        <w:autoSpaceDE/>
        <w:autoSpaceDN/>
        <w:bidi w:val="0"/>
        <w:adjustRightInd/>
        <w:snapToGrid/>
        <w:spacing w:line="460" w:lineRule="exact"/>
        <w:ind w:firstLine="600" w:firstLineChars="200"/>
        <w:textAlignment w:val="auto"/>
        <w:rPr>
          <w:rFonts w:hint="eastAsia" w:ascii="方正仿宋_GB2312" w:hAnsi="方正仿宋_GB2312" w:eastAsia="方正仿宋_GB2312" w:cs="方正仿宋_GB2312"/>
          <w:b w:val="0"/>
          <w:kern w:val="2"/>
          <w:sz w:val="30"/>
          <w:szCs w:val="30"/>
          <w:lang w:val="en-US" w:eastAsia="zh-CN" w:bidi="ar-SA"/>
        </w:rPr>
      </w:pPr>
      <w:r>
        <w:rPr>
          <w:rFonts w:hint="eastAsia" w:ascii="方正仿宋_GB2312" w:hAnsi="方正仿宋_GB2312" w:eastAsia="方正仿宋_GB2312" w:cs="方正仿宋_GB2312"/>
          <w:b w:val="0"/>
          <w:kern w:val="2"/>
          <w:sz w:val="30"/>
          <w:szCs w:val="30"/>
          <w:lang w:val="en-US" w:eastAsia="zh-CN" w:bidi="ar-SA"/>
        </w:rPr>
        <w:t>学术研究成果传播。主办《大学教育科学》刊发论文 75 篇、书评 16 篇，全年转载 43 篇，C</w:t>
      </w:r>
      <w:bookmarkStart w:id="0" w:name="_GoBack"/>
      <w:bookmarkEnd w:id="0"/>
      <w:r>
        <w:rPr>
          <w:rFonts w:hint="eastAsia" w:ascii="方正仿宋_GB2312" w:hAnsi="方正仿宋_GB2312" w:eastAsia="方正仿宋_GB2312" w:cs="方正仿宋_GB2312"/>
          <w:b w:val="0"/>
          <w:kern w:val="2"/>
          <w:sz w:val="30"/>
          <w:szCs w:val="30"/>
          <w:lang w:val="en-US" w:eastAsia="zh-CN" w:bidi="ar-SA"/>
        </w:rPr>
        <w:t>I 指数达 364.830（教育类期刊第 30 位），入选 CSSCI 来源期刊，微信公众号用户超 3 万人，扩大教育研究成果传播覆盖面。</w:t>
      </w:r>
    </w:p>
    <w:p w14:paraId="7E34710F">
      <w:pPr>
        <w:keepNext w:val="0"/>
        <w:keepLines w:val="0"/>
        <w:pageBreakBefore w:val="0"/>
        <w:kinsoku/>
        <w:wordWrap/>
        <w:overflowPunct/>
        <w:topLinePunct w:val="0"/>
        <w:autoSpaceDE/>
        <w:autoSpaceDN/>
        <w:bidi w:val="0"/>
        <w:adjustRightInd/>
        <w:snapToGrid/>
        <w:spacing w:line="460" w:lineRule="exact"/>
        <w:ind w:firstLine="602" w:firstLineChars="200"/>
        <w:textAlignment w:val="auto"/>
        <w:rPr>
          <w:rFonts w:hint="eastAsia" w:ascii="方正仿宋_GB2312" w:hAnsi="方正仿宋_GB2312" w:eastAsia="方正仿宋_GB2312" w:cs="方正仿宋_GB2312"/>
          <w:b/>
          <w:bCs/>
          <w:kern w:val="2"/>
          <w:sz w:val="30"/>
          <w:szCs w:val="30"/>
          <w:lang w:val="en-US" w:eastAsia="zh-CN" w:bidi="ar-SA"/>
        </w:rPr>
      </w:pPr>
      <w:r>
        <w:rPr>
          <w:rFonts w:hint="eastAsia" w:ascii="方正仿宋_GB2312" w:hAnsi="方正仿宋_GB2312" w:eastAsia="方正仿宋_GB2312" w:cs="方正仿宋_GB2312"/>
          <w:b/>
          <w:bCs/>
          <w:kern w:val="2"/>
          <w:sz w:val="30"/>
          <w:szCs w:val="30"/>
          <w:lang w:val="en-US" w:eastAsia="zh-CN" w:bidi="ar-SA"/>
        </w:rPr>
        <w:t>六、会费收支情况:严守财务规范，支撑履职服务</w:t>
      </w:r>
    </w:p>
    <w:p w14:paraId="4312A348">
      <w:pPr>
        <w:keepNext w:val="0"/>
        <w:keepLines w:val="0"/>
        <w:pageBreakBefore w:val="0"/>
        <w:kinsoku/>
        <w:wordWrap/>
        <w:overflowPunct/>
        <w:topLinePunct w:val="0"/>
        <w:autoSpaceDE/>
        <w:autoSpaceDN/>
        <w:bidi w:val="0"/>
        <w:adjustRightInd/>
        <w:snapToGrid/>
        <w:spacing w:line="460" w:lineRule="exact"/>
        <w:ind w:firstLine="600" w:firstLineChars="200"/>
        <w:textAlignment w:val="auto"/>
        <w:rPr>
          <w:rFonts w:hint="eastAsia" w:ascii="方正仿宋_GB2312" w:hAnsi="方正仿宋_GB2312" w:eastAsia="方正仿宋_GB2312" w:cs="方正仿宋_GB2312"/>
          <w:b w:val="0"/>
          <w:kern w:val="2"/>
          <w:sz w:val="30"/>
          <w:szCs w:val="30"/>
          <w:lang w:val="en-US" w:eastAsia="zh-CN" w:bidi="ar-SA"/>
        </w:rPr>
      </w:pPr>
      <w:r>
        <w:rPr>
          <w:rFonts w:hint="eastAsia" w:ascii="方正仿宋_GB2312" w:hAnsi="方正仿宋_GB2312" w:eastAsia="方正仿宋_GB2312" w:cs="方正仿宋_GB2312"/>
          <w:b w:val="0"/>
          <w:kern w:val="2"/>
          <w:sz w:val="30"/>
          <w:szCs w:val="30"/>
          <w:lang w:val="en-US" w:eastAsia="zh-CN" w:bidi="ar-SA"/>
        </w:rPr>
        <w:t>规范会费收缴与资金管理，专款专用、台账清晰，足额保障协会人才培育、思政建设、技能培训、学术出版等各项公益服务落地。</w:t>
      </w:r>
    </w:p>
    <w:p w14:paraId="0CED133F">
      <w:pPr>
        <w:keepNext w:val="0"/>
        <w:keepLines w:val="0"/>
        <w:pageBreakBefore w:val="0"/>
        <w:kinsoku/>
        <w:wordWrap/>
        <w:overflowPunct/>
        <w:topLinePunct w:val="0"/>
        <w:autoSpaceDE/>
        <w:autoSpaceDN/>
        <w:bidi w:val="0"/>
        <w:adjustRightInd/>
        <w:snapToGrid/>
        <w:spacing w:line="460" w:lineRule="exact"/>
        <w:ind w:firstLine="600" w:firstLineChars="200"/>
        <w:textAlignment w:val="auto"/>
        <w:rPr>
          <w:rFonts w:hint="eastAsia" w:ascii="方正仿宋_GB2312" w:hAnsi="方正仿宋_GB2312" w:eastAsia="方正仿宋_GB2312" w:cs="方正仿宋_GB2312"/>
          <w:b w:val="0"/>
          <w:kern w:val="2"/>
          <w:sz w:val="30"/>
          <w:szCs w:val="30"/>
          <w:lang w:val="en-US" w:eastAsia="zh-CN" w:bidi="ar-SA"/>
        </w:rPr>
      </w:pPr>
      <w:r>
        <w:rPr>
          <w:rFonts w:hint="eastAsia" w:ascii="方正仿宋_GB2312" w:hAnsi="方正仿宋_GB2312" w:eastAsia="方正仿宋_GB2312" w:cs="方正仿宋_GB2312"/>
          <w:b w:val="0"/>
          <w:kern w:val="2"/>
          <w:sz w:val="30"/>
          <w:szCs w:val="30"/>
          <w:lang w:val="en-US" w:eastAsia="zh-CN" w:bidi="ar-SA"/>
        </w:rPr>
        <w:t>会费收入稳定归集依托会员单位分级标准缴纳，全年实现会费收入：22.9万</w:t>
      </w:r>
      <w:r>
        <w:rPr>
          <w:rFonts w:hint="eastAsia" w:ascii="方正仿宋_GB2312" w:hAnsi="方正仿宋_GB2312" w:eastAsia="方正仿宋_GB2312" w:cs="方正仿宋_GB2312"/>
          <w:b w:val="0"/>
          <w:kern w:val="2"/>
          <w:sz w:val="30"/>
          <w:szCs w:val="30"/>
          <w:lang w:val="en-US" w:eastAsia="zh-CN" w:bidi="ar-SA"/>
        </w:rPr>
        <w:t>元，支出：21.75万元，为全部业务开展提供稳定资金支撑。</w:t>
      </w:r>
    </w:p>
    <w:p w14:paraId="25EC648B">
      <w:pPr>
        <w:keepNext w:val="0"/>
        <w:keepLines w:val="0"/>
        <w:pageBreakBefore w:val="0"/>
        <w:kinsoku/>
        <w:wordWrap/>
        <w:overflowPunct/>
        <w:topLinePunct w:val="0"/>
        <w:autoSpaceDE/>
        <w:autoSpaceDN/>
        <w:bidi w:val="0"/>
        <w:adjustRightInd/>
        <w:snapToGrid/>
        <w:spacing w:line="460" w:lineRule="exact"/>
        <w:ind w:firstLine="600" w:firstLineChars="200"/>
        <w:textAlignment w:val="auto"/>
        <w:rPr>
          <w:rFonts w:hint="eastAsia" w:ascii="方正仿宋_GB2312" w:hAnsi="方正仿宋_GB2312" w:eastAsia="方正仿宋_GB2312" w:cs="方正仿宋_GB2312"/>
          <w:b w:val="0"/>
          <w:kern w:val="2"/>
          <w:sz w:val="30"/>
          <w:szCs w:val="30"/>
          <w:lang w:val="en-US" w:eastAsia="zh-CN" w:bidi="ar-SA"/>
        </w:rPr>
      </w:pPr>
      <w:r>
        <w:rPr>
          <w:rFonts w:hint="eastAsia" w:ascii="方正仿宋_GB2312" w:hAnsi="方正仿宋_GB2312" w:eastAsia="方正仿宋_GB2312" w:cs="方正仿宋_GB2312"/>
          <w:b w:val="0"/>
          <w:kern w:val="2"/>
          <w:sz w:val="30"/>
          <w:szCs w:val="30"/>
          <w:lang w:val="en-US" w:eastAsia="zh-CN" w:bidi="ar-SA"/>
        </w:rPr>
        <w:t>会费用途: 建立维护协会网站费用; 协会部分工作会议补贴;协会办公场所租金、办公用品等支出; 协会工作人员出差、调研等费用;协会会员证书的印刷、购买所需费用; 日常工作邮寄费等。</w:t>
      </w:r>
    </w:p>
    <w:p w14:paraId="5CEF9979">
      <w:pPr>
        <w:keepNext w:val="0"/>
        <w:keepLines w:val="0"/>
        <w:pageBreakBefore w:val="0"/>
        <w:kinsoku/>
        <w:wordWrap/>
        <w:overflowPunct/>
        <w:topLinePunct w:val="0"/>
        <w:autoSpaceDE/>
        <w:autoSpaceDN/>
        <w:bidi w:val="0"/>
        <w:adjustRightInd/>
        <w:snapToGrid/>
        <w:spacing w:line="460" w:lineRule="exact"/>
        <w:ind w:firstLine="600" w:firstLineChars="200"/>
        <w:textAlignment w:val="auto"/>
        <w:rPr>
          <w:rFonts w:hint="default" w:ascii="方正仿宋_GB2312" w:hAnsi="方正仿宋_GB2312" w:eastAsia="方正仿宋_GB2312" w:cs="方正仿宋_GB2312"/>
          <w:b w:val="0"/>
          <w:kern w:val="2"/>
          <w:sz w:val="30"/>
          <w:szCs w:val="30"/>
          <w:lang w:val="en-US" w:eastAsia="zh-CN" w:bidi="ar-SA"/>
        </w:rPr>
      </w:pPr>
      <w:r>
        <w:rPr>
          <w:rFonts w:hint="eastAsia" w:ascii="方正仿宋_GB2312" w:hAnsi="方正仿宋_GB2312" w:eastAsia="方正仿宋_GB2312" w:cs="方正仿宋_GB2312"/>
          <w:b w:val="0"/>
          <w:kern w:val="2"/>
          <w:sz w:val="30"/>
          <w:szCs w:val="30"/>
          <w:lang w:val="en-US" w:eastAsia="zh-CN" w:bidi="ar-SA"/>
        </w:rPr>
        <w:t>实行收支两条线管理，建立完整财务台账，年度收支明细定期向会员公示，接受监督核查，无违规挪用资金情况，资金使用合规高效。</w:t>
      </w:r>
    </w:p>
    <w:sectPr>
      <w:pgSz w:w="11906" w:h="16838"/>
      <w:pgMar w:top="1440" w:right="1310" w:bottom="1134" w:left="1310" w:header="851" w:footer="992"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keymaps>
    <wne:keymap wne:kcmPrimary="0632">
      <wne:acd wne:acdName="acd0"/>
    </wne:keymap>
  </wne:keymaps>
  <wne:acds>
    <wne:acd wne:argValue="AQAAAAIA" wne:acdName="acd0"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embedRegular r:id="rId1" w:fontKey="{01CD01F6-D8B5-418A-9A9B-CAB505A7CEC3}"/>
  </w:font>
  <w:font w:name="方正小标宋_GBK">
    <w:panose1 w:val="02000000000000000000"/>
    <w:charset w:val="86"/>
    <w:family w:val="auto"/>
    <w:pitch w:val="default"/>
    <w:sig w:usb0="A00002BF" w:usb1="38CF7CFA" w:usb2="00082016" w:usb3="00000000" w:csb0="00040001" w:csb1="00000000"/>
    <w:embedRegular r:id="rId2" w:fontKey="{854573A0-49E6-49BE-994A-56B2897560C4}"/>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85A092"/>
    <w:multiLevelType w:val="multilevel"/>
    <w:tmpl w:val="D085A092"/>
    <w:lvl w:ilvl="0" w:tentative="0">
      <w:start w:val="1"/>
      <w:numFmt w:val="decimal"/>
      <w:pStyle w:val="2"/>
      <w:lvlText w:val="%1."/>
      <w:lvlJc w:val="left"/>
      <w:pPr>
        <w:ind w:left="432" w:hanging="432"/>
      </w:pPr>
      <w:rPr>
        <w:rFonts w:hint="default"/>
      </w:rPr>
    </w:lvl>
    <w:lvl w:ilvl="1" w:tentative="0">
      <w:start w:val="1"/>
      <w:numFmt w:val="decimal"/>
      <w:pStyle w:val="3"/>
      <w:lvlText w:val="%1.%2."/>
      <w:lvlJc w:val="left"/>
      <w:pPr>
        <w:ind w:left="575" w:hanging="575"/>
      </w:pPr>
      <w:rPr>
        <w:rFonts w:hint="default"/>
      </w:rPr>
    </w:lvl>
    <w:lvl w:ilvl="2" w:tentative="0">
      <w:start w:val="1"/>
      <w:numFmt w:val="decimal"/>
      <w:pStyle w:val="4"/>
      <w:lvlText w:val="%1.%2.%3."/>
      <w:lvlJc w:val="left"/>
      <w:pPr>
        <w:ind w:left="720" w:hanging="720"/>
      </w:pPr>
      <w:rPr>
        <w:rFonts w:hint="default"/>
      </w:rPr>
    </w:lvl>
    <w:lvl w:ilvl="3" w:tentative="0">
      <w:start w:val="1"/>
      <w:numFmt w:val="decimal"/>
      <w:pStyle w:val="5"/>
      <w:lvlText w:val="%1.%2.%3.%4."/>
      <w:lvlJc w:val="left"/>
      <w:pPr>
        <w:ind w:left="864" w:hanging="864"/>
      </w:pPr>
      <w:rPr>
        <w:rFonts w:hint="default"/>
      </w:rPr>
    </w:lvl>
    <w:lvl w:ilvl="4" w:tentative="0">
      <w:start w:val="1"/>
      <w:numFmt w:val="decimal"/>
      <w:pStyle w:val="6"/>
      <w:lvlText w:val="%1.%2.%3.%4.%5."/>
      <w:lvlJc w:val="left"/>
      <w:pPr>
        <w:ind w:left="1008" w:hanging="1008"/>
      </w:pPr>
      <w:rPr>
        <w:rFonts w:hint="default"/>
      </w:rPr>
    </w:lvl>
    <w:lvl w:ilvl="5" w:tentative="0">
      <w:start w:val="1"/>
      <w:numFmt w:val="decimal"/>
      <w:pStyle w:val="7"/>
      <w:lvlText w:val="%1.%2.%3.%4.%5.%6."/>
      <w:lvlJc w:val="left"/>
      <w:pPr>
        <w:ind w:left="1151" w:hanging="1151"/>
      </w:pPr>
      <w:rPr>
        <w:rFonts w:hint="default"/>
      </w:rPr>
    </w:lvl>
    <w:lvl w:ilvl="6" w:tentative="0">
      <w:start w:val="1"/>
      <w:numFmt w:val="decimal"/>
      <w:pStyle w:val="8"/>
      <w:lvlText w:val="%1.%2.%3.%4.%5.%6.%7."/>
      <w:lvlJc w:val="left"/>
      <w:pPr>
        <w:ind w:left="1296" w:hanging="1296"/>
      </w:pPr>
      <w:rPr>
        <w:rFonts w:hint="default"/>
      </w:rPr>
    </w:lvl>
    <w:lvl w:ilvl="7" w:tentative="0">
      <w:start w:val="1"/>
      <w:numFmt w:val="decimal"/>
      <w:pStyle w:val="9"/>
      <w:lvlText w:val="%1.%2.%3.%4.%5.%6.%7.%8."/>
      <w:lvlJc w:val="left"/>
      <w:pPr>
        <w:ind w:left="1440" w:hanging="1440"/>
      </w:pPr>
      <w:rPr>
        <w:rFonts w:hint="default"/>
      </w:rPr>
    </w:lvl>
    <w:lvl w:ilvl="8" w:tentative="0">
      <w:start w:val="1"/>
      <w:numFmt w:val="decimal"/>
      <w:pStyle w:val="10"/>
      <w:lvlText w:val="%1.%2.%3.%4.%5.%6.%7.%8.%9."/>
      <w:lvlJc w:val="left"/>
      <w:pPr>
        <w:ind w:left="1583" w:hanging="1583"/>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510197"/>
    <w:rsid w:val="0E8A4288"/>
    <w:rsid w:val="0F0C0705"/>
    <w:rsid w:val="10684F66"/>
    <w:rsid w:val="130F4DA0"/>
    <w:rsid w:val="182F204B"/>
    <w:rsid w:val="3065356A"/>
    <w:rsid w:val="40EF7D97"/>
    <w:rsid w:val="420F79E2"/>
    <w:rsid w:val="4EE62084"/>
    <w:rsid w:val="502A58C2"/>
    <w:rsid w:val="52C36528"/>
    <w:rsid w:val="57517B92"/>
    <w:rsid w:val="5F9A7BFD"/>
    <w:rsid w:val="640A1533"/>
    <w:rsid w:val="67832249"/>
    <w:rsid w:val="67D22629"/>
    <w:rsid w:val="68386205"/>
    <w:rsid w:val="7721169A"/>
    <w:rsid w:val="794F0342"/>
    <w:rsid w:val="7F8848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before="340" w:beforeLines="0" w:beforeAutospacing="0" w:after="330" w:afterLines="0" w:afterAutospacing="0" w:line="576" w:lineRule="auto"/>
      <w:ind w:left="432" w:hanging="432"/>
      <w:outlineLvl w:val="0"/>
    </w:pPr>
    <w:rPr>
      <w:b/>
      <w:kern w:val="44"/>
      <w:sz w:val="44"/>
    </w:rPr>
  </w:style>
  <w:style w:type="paragraph" w:styleId="3">
    <w:name w:val="heading 2"/>
    <w:basedOn w:val="1"/>
    <w:next w:val="1"/>
    <w:link w:val="13"/>
    <w:semiHidden/>
    <w:unhideWhenUsed/>
    <w:qFormat/>
    <w:uiPriority w:val="0"/>
    <w:pPr>
      <w:numPr>
        <w:ilvl w:val="1"/>
        <w:numId w:val="1"/>
      </w:numPr>
      <w:spacing w:before="120" w:after="120"/>
      <w:ind w:left="575" w:leftChars="0" w:hanging="575" w:firstLineChars="0"/>
      <w:jc w:val="left"/>
      <w:outlineLvl w:val="1"/>
    </w:pPr>
    <w:rPr>
      <w:rFonts w:ascii="仿宋" w:hAnsi="仿宋" w:eastAsia="仿宋" w:cstheme="majorBidi"/>
      <w:b/>
      <w:bCs/>
      <w:sz w:val="32"/>
      <w:szCs w:val="32"/>
    </w:rPr>
  </w:style>
  <w:style w:type="paragraph" w:styleId="4">
    <w:name w:val="heading 3"/>
    <w:basedOn w:val="1"/>
    <w:next w:val="1"/>
    <w:semiHidden/>
    <w:unhideWhenUsed/>
    <w:qFormat/>
    <w:uiPriority w:val="0"/>
    <w:pPr>
      <w:keepNext/>
      <w:keepLines/>
      <w:numPr>
        <w:ilvl w:val="2"/>
        <w:numId w:val="1"/>
      </w:numPr>
      <w:spacing w:before="260" w:beforeLines="0" w:beforeAutospacing="0" w:after="260" w:afterLines="0" w:afterAutospacing="0" w:line="413" w:lineRule="auto"/>
      <w:ind w:left="720" w:hanging="720"/>
      <w:outlineLvl w:val="2"/>
    </w:pPr>
    <w:rPr>
      <w:b/>
      <w:sz w:val="32"/>
    </w:rPr>
  </w:style>
  <w:style w:type="paragraph" w:styleId="5">
    <w:name w:val="heading 4"/>
    <w:basedOn w:val="1"/>
    <w:next w:val="1"/>
    <w:semiHidden/>
    <w:unhideWhenUsed/>
    <w:qFormat/>
    <w:uiPriority w:val="0"/>
    <w:pPr>
      <w:keepNext/>
      <w:keepLines/>
      <w:numPr>
        <w:ilvl w:val="3"/>
        <w:numId w:val="1"/>
      </w:numPr>
      <w:spacing w:before="280" w:beforeLines="0" w:beforeAutospacing="0" w:after="290" w:afterLines="0" w:afterAutospacing="0" w:line="372" w:lineRule="auto"/>
      <w:ind w:left="864" w:hanging="864"/>
      <w:outlineLvl w:val="3"/>
    </w:pPr>
    <w:rPr>
      <w:rFonts w:ascii="Arial" w:hAnsi="Arial" w:eastAsia="黑体"/>
      <w:b/>
      <w:sz w:val="28"/>
    </w:rPr>
  </w:style>
  <w:style w:type="paragraph" w:styleId="6">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1008" w:hanging="1008"/>
      <w:outlineLvl w:val="4"/>
    </w:pPr>
    <w:rPr>
      <w:b/>
      <w:sz w:val="28"/>
    </w:rPr>
  </w:style>
  <w:style w:type="paragraph" w:styleId="7">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1151" w:hanging="1151"/>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1296" w:hanging="1296"/>
      <w:outlineLvl w:val="6"/>
    </w:pPr>
    <w:rPr>
      <w:b/>
      <w:sz w:val="24"/>
    </w:rPr>
  </w:style>
  <w:style w:type="paragraph" w:styleId="9">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1440" w:hanging="1440"/>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1583" w:hanging="1583"/>
      <w:outlineLvl w:val="8"/>
    </w:pPr>
    <w:rPr>
      <w:rFonts w:ascii="Arial" w:hAnsi="Arial" w:eastAsia="黑体"/>
      <w:sz w:val="21"/>
    </w:rPr>
  </w:style>
  <w:style w:type="character" w:default="1" w:styleId="12">
    <w:name w:val="Default Paragraph Font"/>
    <w:semiHidden/>
    <w:unhideWhenUsed/>
    <w:qFormat/>
    <w:uiPriority w:val="1"/>
  </w:style>
  <w:style w:type="table" w:default="1" w:styleId="11">
    <w:name w:val="Normal Table"/>
    <w:semiHidden/>
    <w:qFormat/>
    <w:uiPriority w:val="0"/>
    <w:tblPr>
      <w:tblCellMar>
        <w:top w:w="0" w:type="dxa"/>
        <w:left w:w="108" w:type="dxa"/>
        <w:bottom w:w="0" w:type="dxa"/>
        <w:right w:w="108" w:type="dxa"/>
      </w:tblCellMar>
    </w:tblPr>
  </w:style>
  <w:style w:type="character" w:customStyle="1" w:styleId="13">
    <w:name w:val="标题 2 Char"/>
    <w:basedOn w:val="12"/>
    <w:link w:val="3"/>
    <w:autoRedefine/>
    <w:qFormat/>
    <w:uiPriority w:val="9"/>
    <w:rPr>
      <w:rFonts w:ascii="仿宋" w:hAnsi="仿宋" w:eastAsia="仿宋" w:cstheme="majorBidi"/>
      <w:b/>
      <w:bCs/>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microsoft.com/office/2006/relationships/keyMapCustomizations" Target="customizations.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CAEACE"/>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3036</Words>
  <Characters>3137</Characters>
  <Lines>0</Lines>
  <Paragraphs>0</Paragraphs>
  <TotalTime>7</TotalTime>
  <ScaleCrop>false</ScaleCrop>
  <LinksUpToDate>false</LinksUpToDate>
  <CharactersWithSpaces>3239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2024-02-19T14:48:00Z</dcterms:created>
  <dc:creator>86158</dc:creator>
  <cp:lastModifiedBy>教育亚琴</cp:lastModifiedBy>
  <cp:lastPrinted>2026-06-28T10:05:00Z</cp:lastPrinted>
  <dcterms:modified xsi:type="dcterms:W3CDTF">2026-06-28T10:47:59Z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F3EC46441456403596849C8629B39A0B_13</vt:lpwstr>
  </property>
  <property fmtid="{D5CDD505-2E9C-101B-9397-08002B2CF9AE}" pid="4" name="KSOTemplateDocerSaveRecord">
    <vt:lpwstr>eyJoZGlkIjoiMGI4MzRlYmQwOWIxMGNjM2Y2MjFkZjNjYzBlMTM3ZTEiLCJ1c2VySWQiOiI1NDI5MDY4NzAifQ==</vt:lpwstr>
  </property>
</Properties>
</file>